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20"/>
        <w:spacing w:after="0"/>
        <w:rPr>
          <w:sz w:val="20"/>
          <w:szCs w:val="20"/>
          <w:color w:val="auto"/>
        </w:rPr>
      </w:pPr>
      <w:r>
        <w:rPr>
          <w:rFonts w:ascii="Times New Roman" w:cs="Times New Roman" w:eastAsia="Times New Roman" w:hAnsi="Times New Roman"/>
          <w:sz w:val="25"/>
          <w:szCs w:val="25"/>
          <w:b w:val="1"/>
          <w:bCs w:val="1"/>
          <w:color w:val="auto"/>
        </w:rPr>
        <w:drawing>
          <wp:anchor simplePos="0" relativeHeight="251657728" behindDoc="1" locked="0" layoutInCell="0" allowOverlap="1">
            <wp:simplePos x="0" y="0"/>
            <wp:positionH relativeFrom="page">
              <wp:posOffset>208280</wp:posOffset>
            </wp:positionH>
            <wp:positionV relativeFrom="page">
              <wp:posOffset>448945</wp:posOffset>
            </wp:positionV>
            <wp:extent cx="71323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26035"/>
                    </a:xfrm>
                    <a:prstGeom prst="rect">
                      <a:avLst/>
                    </a:prstGeom>
                    <a:noFill/>
                  </pic:spPr>
                </pic:pic>
              </a:graphicData>
            </a:graphic>
          </wp:anchor>
        </w:drawing>
        <w:drawing>
          <wp:anchor simplePos="0" relativeHeight="251657728" behindDoc="1" locked="0" layoutInCell="0" allowOverlap="1">
            <wp:simplePos x="0" y="0"/>
            <wp:positionH relativeFrom="page">
              <wp:posOffset>208280</wp:posOffset>
            </wp:positionH>
            <wp:positionV relativeFrom="page">
              <wp:posOffset>483235</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t>UNITED STATES</w:t>
      </w:r>
    </w:p>
    <w:p>
      <w:pPr>
        <w:spacing w:after="0" w:line="44"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25"/>
          <w:szCs w:val="25"/>
          <w:b w:val="1"/>
          <w:bCs w:val="1"/>
          <w:color w:val="auto"/>
        </w:rPr>
        <w:t>SECURITIES AND EXCHANGE COMMISSION</w:t>
      </w:r>
    </w:p>
    <w:p>
      <w:pPr>
        <w:spacing w:after="0" w:line="10"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25"/>
          <w:szCs w:val="25"/>
          <w:b w:val="1"/>
          <w:bCs w:val="1"/>
          <w:color w:val="auto"/>
        </w:rPr>
        <w:t>Washington, D.C. 20549</w:t>
      </w:r>
    </w:p>
    <w:p>
      <w:pPr>
        <w:spacing w:after="0" w:line="192"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25"/>
          <w:szCs w:val="25"/>
          <w:b w:val="1"/>
          <w:bCs w:val="1"/>
          <w:color w:val="auto"/>
        </w:rPr>
        <w:t>FORM 6-K</w:t>
      </w:r>
    </w:p>
    <w:p>
      <w:pPr>
        <w:spacing w:after="0" w:line="236"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REPORT OF FOREIGN PRIVATE ISSUER</w:t>
      </w:r>
    </w:p>
    <w:p>
      <w:pPr>
        <w:spacing w:after="0" w:line="27"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PURSUANT TO RULE 13a-16 OR 15d-16 UNDER THE</w:t>
      </w:r>
    </w:p>
    <w:p>
      <w:pPr>
        <w:spacing w:after="0" w:line="9"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SECURITIES EXCHANGE ACT OF 1934</w:t>
      </w:r>
    </w:p>
    <w:p>
      <w:pPr>
        <w:spacing w:after="0" w:line="200" w:lineRule="exact"/>
        <w:rPr>
          <w:sz w:val="24"/>
          <w:szCs w:val="24"/>
          <w:color w:val="auto"/>
        </w:rPr>
      </w:pPr>
    </w:p>
    <w:p>
      <w:pPr>
        <w:spacing w:after="0" w:line="223"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For the month of October, 2020</w:t>
      </w:r>
    </w:p>
    <w:p>
      <w:pPr>
        <w:spacing w:after="0" w:line="225" w:lineRule="exact"/>
        <w:rPr>
          <w:sz w:val="24"/>
          <w:szCs w:val="24"/>
          <w:color w:val="auto"/>
        </w:rPr>
      </w:pPr>
    </w:p>
    <w:p>
      <w:pPr>
        <w:ind w:left="4380"/>
        <w:spacing w:after="0"/>
        <w:rPr>
          <w:sz w:val="20"/>
          <w:szCs w:val="20"/>
          <w:color w:val="auto"/>
        </w:rPr>
      </w:pPr>
      <w:r>
        <w:rPr>
          <w:rFonts w:ascii="Times New Roman" w:cs="Times New Roman" w:eastAsia="Times New Roman" w:hAnsi="Times New Roman"/>
          <w:sz w:val="18"/>
          <w:szCs w:val="18"/>
          <w:color w:val="auto"/>
        </w:rPr>
        <w:t>Commission File Number 1-11414</w:t>
      </w:r>
    </w:p>
    <w:p>
      <w:pPr>
        <w:spacing w:after="0" w:line="200" w:lineRule="exact"/>
        <w:rPr>
          <w:sz w:val="24"/>
          <w:szCs w:val="24"/>
          <w:color w:val="auto"/>
        </w:rPr>
      </w:pPr>
    </w:p>
    <w:p>
      <w:pPr>
        <w:spacing w:after="0" w:line="230"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25"/>
          <w:szCs w:val="25"/>
          <w:b w:val="1"/>
          <w:bCs w:val="1"/>
          <w:color w:val="auto"/>
        </w:rPr>
        <w:t>BANCO LATINOAMERICANO DE COMERCIO EXTERIOR, S.A.</w:t>
      </w:r>
    </w:p>
    <w:p>
      <w:pPr>
        <w:spacing w:after="0" w:line="40"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(Exact name of Registrant as specified in its Charter)</w:t>
      </w:r>
    </w:p>
    <w:p>
      <w:pPr>
        <w:spacing w:after="0" w:line="194"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25"/>
          <w:szCs w:val="25"/>
          <w:b w:val="1"/>
          <w:bCs w:val="1"/>
          <w:color w:val="auto"/>
        </w:rPr>
        <w:t>FOREIGN TRADE BANK OF LATIN AMERICA, INC.</w:t>
      </w:r>
    </w:p>
    <w:p>
      <w:pPr>
        <w:spacing w:after="0" w:line="40"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(Translation of Registrant’s name into English)</w:t>
      </w:r>
    </w:p>
    <w:p>
      <w:pPr>
        <w:spacing w:after="0" w:line="205"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Business Park Torre V, Ave. La Rotonda, Costa del Este</w:t>
      </w:r>
    </w:p>
    <w:p>
      <w:pPr>
        <w:spacing w:after="0" w:line="27"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P.O. Box 0819-08730</w:t>
      </w:r>
    </w:p>
    <w:p>
      <w:pPr>
        <w:spacing w:after="0" w:line="9"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Panama City, Republic of Panama</w:t>
      </w:r>
    </w:p>
    <w:p>
      <w:pPr>
        <w:spacing w:after="0" w:line="9"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(Address of Registrant’s Principal Executive Offices)</w:t>
      </w:r>
    </w:p>
    <w:p>
      <w:pPr>
        <w:spacing w:after="0" w:line="207"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Indicate by check mark whether the registrant files or will file annual reports under cover of Form 20-F or Form 40-F.</w:t>
      </w:r>
    </w:p>
    <w:p>
      <w:pPr>
        <w:spacing w:after="0" w:line="196" w:lineRule="exact"/>
        <w:rPr>
          <w:sz w:val="24"/>
          <w:szCs w:val="24"/>
          <w:color w:val="auto"/>
        </w:rPr>
      </w:pPr>
    </w:p>
    <w:p>
      <w:pPr>
        <w:ind w:left="4520"/>
        <w:spacing w:after="0" w:line="207" w:lineRule="exact"/>
        <w:tabs>
          <w:tab w:leader="none" w:pos="5720" w:val="left"/>
        </w:tabs>
        <w:rPr>
          <w:sz w:val="20"/>
          <w:szCs w:val="20"/>
          <w:color w:val="auto"/>
        </w:rPr>
      </w:pPr>
      <w:r>
        <w:rPr>
          <w:rFonts w:ascii="Times New Roman" w:cs="Times New Roman" w:eastAsia="Times New Roman" w:hAnsi="Times New Roman"/>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Times New Roman" w:cs="Times New Roman" w:eastAsia="Times New Roman" w:hAnsi="Times New Roman"/>
          <w:sz w:val="17"/>
          <w:szCs w:val="17"/>
          <w:color w:val="auto"/>
        </w:rPr>
        <w:t xml:space="preserve">Form 40-F </w:t>
      </w:r>
      <w:r>
        <w:rPr>
          <w:rFonts w:ascii="MS PGothic" w:cs="MS PGothic" w:eastAsia="MS PGothic" w:hAnsi="MS PGothic"/>
          <w:sz w:val="17"/>
          <w:szCs w:val="17"/>
          <w:color w:val="auto"/>
        </w:rPr>
        <w:t>☐</w:t>
      </w:r>
    </w:p>
    <w:p>
      <w:pPr>
        <w:spacing w:after="0" w:line="254"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Indicate by check mark if the registrant is submitting the Form 6-K in paper as permitted by Regulation S-T Rule 101(b)(1):</w:t>
      </w:r>
    </w:p>
    <w:p>
      <w:pPr>
        <w:spacing w:after="0" w:line="196" w:lineRule="exact"/>
        <w:rPr>
          <w:sz w:val="24"/>
          <w:szCs w:val="24"/>
          <w:color w:val="auto"/>
        </w:rPr>
      </w:pPr>
    </w:p>
    <w:p>
      <w:pPr>
        <w:ind w:left="5060"/>
        <w:spacing w:after="0" w:line="207" w:lineRule="exact"/>
        <w:tabs>
          <w:tab w:leader="none" w:pos="5740" w:val="left"/>
        </w:tabs>
        <w:rPr>
          <w:sz w:val="20"/>
          <w:szCs w:val="20"/>
          <w:color w:val="auto"/>
        </w:rPr>
      </w:pPr>
      <w:r>
        <w:rPr>
          <w:rFonts w:ascii="Times New Roman" w:cs="Times New Roman" w:eastAsia="Times New Roman" w:hAnsi="Times New Roman"/>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Times New Roman" w:cs="Times New Roman" w:eastAsia="Times New Roman" w:hAnsi="Times New Roman"/>
          <w:sz w:val="16"/>
          <w:szCs w:val="16"/>
          <w:color w:val="auto"/>
        </w:rPr>
        <w:t xml:space="preserve">No </w:t>
      </w:r>
      <w:r>
        <w:rPr>
          <w:rFonts w:ascii="MS PGothic" w:cs="MS PGothic" w:eastAsia="MS PGothic" w:hAnsi="MS PGothic"/>
          <w:sz w:val="16"/>
          <w:szCs w:val="16"/>
          <w:color w:val="auto"/>
        </w:rPr>
        <w:t>☒</w:t>
      </w:r>
    </w:p>
    <w:p>
      <w:pPr>
        <w:spacing w:after="0" w:line="254"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Indicate by check mark if the registrant is submitting the Form 6-K in paper as permitted by Regulation S-T Rule 101(b)(7):</w:t>
      </w:r>
    </w:p>
    <w:p>
      <w:pPr>
        <w:spacing w:after="0" w:line="196" w:lineRule="exact"/>
        <w:rPr>
          <w:sz w:val="24"/>
          <w:szCs w:val="24"/>
          <w:color w:val="auto"/>
        </w:rPr>
      </w:pPr>
    </w:p>
    <w:p>
      <w:pPr>
        <w:ind w:left="5060"/>
        <w:spacing w:after="0" w:line="207" w:lineRule="exact"/>
        <w:tabs>
          <w:tab w:leader="none" w:pos="5740" w:val="left"/>
        </w:tabs>
        <w:rPr>
          <w:sz w:val="20"/>
          <w:szCs w:val="20"/>
          <w:color w:val="auto"/>
        </w:rPr>
      </w:pPr>
      <w:r>
        <w:rPr>
          <w:rFonts w:ascii="Times New Roman" w:cs="Times New Roman" w:eastAsia="Times New Roman" w:hAnsi="Times New Roman"/>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Times New Roman" w:cs="Times New Roman" w:eastAsia="Times New Roman" w:hAnsi="Times New Roman"/>
          <w:sz w:val="16"/>
          <w:szCs w:val="16"/>
          <w:color w:val="auto"/>
        </w:rPr>
        <w:t xml:space="preserve">No </w:t>
      </w:r>
      <w:r>
        <w:rPr>
          <w:rFonts w:ascii="MS PGothic" w:cs="MS PGothic" w:eastAsia="MS PGothic" w:hAnsi="MS PGothic"/>
          <w:sz w:val="16"/>
          <w:szCs w:val="16"/>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207010</wp:posOffset>
            </wp:positionV>
            <wp:extent cx="713232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25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224155</wp:posOffset>
            </wp:positionV>
            <wp:extent cx="7132320" cy="260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541655</wp:posOffset>
            </wp:positionV>
            <wp:extent cx="71323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0139"/>
          </w:cols>
          <w:pgMar w:left="320" w:top="1015" w:right="1440" w:bottom="1440" w:gutter="0" w:footer="0" w:header="0"/>
        </w:sectPr>
      </w:pPr>
    </w:p>
    <w:bookmarkStart w:id="1" w:name="page2"/>
    <w:bookmarkEnd w:id="1"/>
    <w:p>
      <w:pPr>
        <w:jc w:val="center"/>
        <w:spacing w:after="0"/>
        <w:rPr>
          <w:sz w:val="20"/>
          <w:szCs w:val="20"/>
          <w:color w:val="auto"/>
        </w:rPr>
      </w:pPr>
      <w:r>
        <w:rPr>
          <w:rFonts w:ascii="Times New Roman" w:cs="Times New Roman" w:eastAsia="Times New Roman" w:hAnsi="Times New Roman"/>
          <w:sz w:val="18"/>
          <w:szCs w:val="18"/>
          <w:b w:val="1"/>
          <w:bCs w:val="1"/>
          <w:color w:val="auto"/>
        </w:rPr>
        <w:t>SIGNATURES</w:t>
      </w:r>
    </w:p>
    <w:p>
      <w:pPr>
        <w:spacing w:after="0" w:line="229" w:lineRule="exact"/>
        <w:rPr>
          <w:sz w:val="20"/>
          <w:szCs w:val="20"/>
          <w:color w:val="auto"/>
        </w:rPr>
      </w:pPr>
    </w:p>
    <w:p>
      <w:pPr>
        <w:ind w:firstLine="648"/>
        <w:spacing w:after="0" w:line="282" w:lineRule="auto"/>
        <w:rPr>
          <w:sz w:val="20"/>
          <w:szCs w:val="20"/>
          <w:color w:val="auto"/>
        </w:rPr>
      </w:pPr>
      <w:r>
        <w:rPr>
          <w:rFonts w:ascii="Times New Roman" w:cs="Times New Roman" w:eastAsia="Times New Roman" w:hAnsi="Times New Roman"/>
          <w:sz w:val="18"/>
          <w:szCs w:val="18"/>
          <w:color w:val="auto"/>
        </w:rPr>
        <w:t>Pursuant to the requirements of the Securities Exchange Act of 1934, the registrant has duly caused this report to be signed on its behalf by the undersigned, thereunto duly authorized.</w:t>
      </w:r>
    </w:p>
    <w:p>
      <w:pPr>
        <w:spacing w:after="0" w:line="37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Date: October 27, 2020</w:t>
      </w:r>
    </w:p>
    <w:p>
      <w:pPr>
        <w:spacing w:after="0" w:line="225" w:lineRule="exact"/>
        <w:rPr>
          <w:sz w:val="20"/>
          <w:szCs w:val="20"/>
          <w:color w:val="auto"/>
        </w:rPr>
      </w:pPr>
    </w:p>
    <w:p>
      <w:pPr>
        <w:ind w:left="5920"/>
        <w:spacing w:after="0"/>
        <w:rPr>
          <w:sz w:val="20"/>
          <w:szCs w:val="20"/>
          <w:color w:val="auto"/>
        </w:rPr>
      </w:pPr>
      <w:r>
        <w:rPr>
          <w:rFonts w:ascii="Times New Roman" w:cs="Times New Roman" w:eastAsia="Times New Roman" w:hAnsi="Times New Roman"/>
          <w:sz w:val="18"/>
          <w:szCs w:val="18"/>
          <w:color w:val="auto"/>
        </w:rPr>
        <w:t>FOREIGN TRADE BANK OF LATIN AMERICA, INC.</w:t>
      </w:r>
    </w:p>
    <w:p>
      <w:pPr>
        <w:spacing w:after="0" w:line="27" w:lineRule="exact"/>
        <w:rPr>
          <w:sz w:val="20"/>
          <w:szCs w:val="20"/>
          <w:color w:val="auto"/>
        </w:rPr>
      </w:pPr>
    </w:p>
    <w:p>
      <w:pPr>
        <w:ind w:left="5920"/>
        <w:spacing w:after="0"/>
        <w:rPr>
          <w:sz w:val="20"/>
          <w:szCs w:val="20"/>
          <w:color w:val="auto"/>
        </w:rPr>
      </w:pPr>
      <w:r>
        <w:rPr>
          <w:rFonts w:ascii="Times New Roman" w:cs="Times New Roman" w:eastAsia="Times New Roman" w:hAnsi="Times New Roman"/>
          <w:sz w:val="18"/>
          <w:szCs w:val="18"/>
          <w:i w:val="1"/>
          <w:iCs w:val="1"/>
          <w:color w:val="auto"/>
        </w:rPr>
        <w:t>(Registrant)</w:t>
      </w:r>
    </w:p>
    <w:p>
      <w:pPr>
        <w:spacing w:after="0" w:line="200" w:lineRule="exact"/>
        <w:rPr>
          <w:sz w:val="20"/>
          <w:szCs w:val="20"/>
          <w:color w:val="auto"/>
        </w:rPr>
      </w:pPr>
    </w:p>
    <w:p>
      <w:pPr>
        <w:spacing w:after="0" w:line="223"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500" w:type="dxa"/>
            <w:vAlign w:val="bottom"/>
          </w:tcPr>
          <w:p>
            <w:pPr>
              <w:ind w:left="5920"/>
              <w:spacing w:after="0"/>
              <w:rPr>
                <w:sz w:val="20"/>
                <w:szCs w:val="20"/>
                <w:color w:val="auto"/>
              </w:rPr>
            </w:pPr>
            <w:r>
              <w:rPr>
                <w:rFonts w:ascii="Times New Roman" w:cs="Times New Roman" w:eastAsia="Times New Roman" w:hAnsi="Times New Roman"/>
                <w:sz w:val="18"/>
                <w:szCs w:val="18"/>
                <w:color w:val="auto"/>
              </w:rPr>
              <w:t>By:</w:t>
            </w:r>
          </w:p>
        </w:tc>
        <w:tc>
          <w:tcPr>
            <w:tcW w:w="474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18"/>
                <w:szCs w:val="18"/>
                <w:color w:val="auto"/>
              </w:rPr>
              <w:t>/s/ Ana Graciela de Méndez</w:t>
            </w:r>
          </w:p>
        </w:tc>
      </w:tr>
      <w:tr>
        <w:trPr>
          <w:trHeight w:val="191"/>
        </w:trPr>
        <w:tc>
          <w:tcPr>
            <w:tcW w:w="6500" w:type="dxa"/>
            <w:vAlign w:val="bottom"/>
          </w:tcPr>
          <w:p>
            <w:pPr>
              <w:ind w:left="5920"/>
              <w:spacing w:after="0" w:line="191" w:lineRule="exact"/>
              <w:rPr>
                <w:sz w:val="20"/>
                <w:szCs w:val="20"/>
                <w:color w:val="auto"/>
              </w:rPr>
            </w:pPr>
            <w:r>
              <w:rPr>
                <w:rFonts w:ascii="Times New Roman" w:cs="Times New Roman" w:eastAsia="Times New Roman" w:hAnsi="Times New Roman"/>
                <w:sz w:val="18"/>
                <w:szCs w:val="18"/>
                <w:color w:val="auto"/>
              </w:rPr>
              <w:t>Name:</w:t>
            </w:r>
          </w:p>
        </w:tc>
        <w:tc>
          <w:tcPr>
            <w:tcW w:w="4740" w:type="dxa"/>
            <w:vAlign w:val="bottom"/>
          </w:tcPr>
          <w:p>
            <w:pPr>
              <w:spacing w:after="0" w:line="191" w:lineRule="exact"/>
              <w:rPr>
                <w:sz w:val="20"/>
                <w:szCs w:val="20"/>
                <w:color w:val="auto"/>
              </w:rPr>
            </w:pPr>
            <w:r>
              <w:rPr>
                <w:rFonts w:ascii="Times New Roman" w:cs="Times New Roman" w:eastAsia="Times New Roman" w:hAnsi="Times New Roman"/>
                <w:sz w:val="18"/>
                <w:szCs w:val="18"/>
                <w:color w:val="auto"/>
              </w:rPr>
              <w:t>Ana Graciela de Méndez</w:t>
            </w:r>
          </w:p>
        </w:tc>
      </w:tr>
      <w:tr>
        <w:trPr>
          <w:trHeight w:val="234"/>
        </w:trPr>
        <w:tc>
          <w:tcPr>
            <w:tcW w:w="6500" w:type="dxa"/>
            <w:vAlign w:val="bottom"/>
          </w:tcPr>
          <w:p>
            <w:pPr>
              <w:ind w:left="5920"/>
              <w:spacing w:after="0"/>
              <w:rPr>
                <w:sz w:val="20"/>
                <w:szCs w:val="20"/>
                <w:color w:val="auto"/>
              </w:rPr>
            </w:pPr>
            <w:r>
              <w:rPr>
                <w:rFonts w:ascii="Times New Roman" w:cs="Times New Roman" w:eastAsia="Times New Roman" w:hAnsi="Times New Roman"/>
                <w:sz w:val="18"/>
                <w:szCs w:val="18"/>
                <w:color w:val="auto"/>
              </w:rPr>
              <w:t>Title:</w:t>
            </w:r>
          </w:p>
        </w:tc>
        <w:tc>
          <w:tcPr>
            <w:tcW w:w="4740" w:type="dxa"/>
            <w:vAlign w:val="bottom"/>
          </w:tcPr>
          <w:p>
            <w:pPr>
              <w:spacing w:after="0"/>
              <w:rPr>
                <w:sz w:val="20"/>
                <w:szCs w:val="20"/>
                <w:color w:val="auto"/>
              </w:rPr>
            </w:pPr>
            <w:r>
              <w:rPr>
                <w:rFonts w:ascii="Times New Roman" w:cs="Times New Roman" w:eastAsia="Times New Roman" w:hAnsi="Times New Roman"/>
                <w:sz w:val="18"/>
                <w:szCs w:val="18"/>
                <w:color w:val="auto"/>
              </w:rPr>
              <w:t>CFO</w:t>
            </w:r>
          </w:p>
        </w:tc>
      </w:tr>
      <w:tr>
        <w:trPr>
          <w:trHeight w:val="1755"/>
        </w:trPr>
        <w:tc>
          <w:tcPr>
            <w:tcW w:w="6500" w:type="dxa"/>
            <w:vAlign w:val="bottom"/>
            <w:tcBorders>
              <w:bottom w:val="single" w:sz="8" w:color="auto"/>
            </w:tcBorders>
          </w:tcPr>
          <w:p>
            <w:pPr>
              <w:spacing w:after="0"/>
              <w:rPr>
                <w:sz w:val="24"/>
                <w:szCs w:val="24"/>
                <w:color w:val="auto"/>
              </w:rPr>
            </w:pPr>
          </w:p>
        </w:tc>
        <w:tc>
          <w:tcPr>
            <w:tcW w:w="474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0" w:right="3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2934335</wp:posOffset>
            </wp:positionH>
            <wp:positionV relativeFrom="page">
              <wp:posOffset>586105</wp:posOffset>
            </wp:positionV>
            <wp:extent cx="1705610" cy="6940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clrChange>
                        <a:clrFrom>
                          <a:srgbClr val="FFFFFF"/>
                        </a:clrFrom>
                        <a:clrTo>
                          <a:srgbClr val="FFFFFF">
                            <a:alpha val="0"/>
                          </a:srgbClr>
                        </a:clrTo>
                      </a:clrChange>
                      <a:extLst>
                        <a:ext uri="{28A0092B-C50C-407E-A947-70E740481C1C}"/>
                      </a:extLst>
                    </a:blip>
                    <a:srcRect/>
                    <a:stretch>
                      <a:fillRect/>
                    </a:stretch>
                  </pic:blipFill>
                  <pic:spPr bwMode="auto">
                    <a:xfrm>
                      <a:off x="0" y="0"/>
                      <a:ext cx="1705610" cy="6940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BLADEX ANNOUNCES QUARTERLY DIVIDEND PAYMENT</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FOR THIRD QUARTER 2020</w:t>
      </w:r>
    </w:p>
    <w:p>
      <w:pPr>
        <w:spacing w:after="0" w:line="200" w:lineRule="exact"/>
        <w:rPr>
          <w:sz w:val="20"/>
          <w:szCs w:val="20"/>
          <w:color w:val="auto"/>
        </w:rPr>
      </w:pPr>
    </w:p>
    <w:p>
      <w:pPr>
        <w:spacing w:after="0" w:line="219"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color w:val="auto"/>
        </w:rPr>
        <w:t xml:space="preserve">Panama City, Republic of Panama, October 27, 2020 </w:t>
      </w:r>
      <w:r>
        <w:rPr>
          <w:rFonts w:ascii="Times New Roman" w:cs="Times New Roman" w:eastAsia="Times New Roman" w:hAnsi="Times New Roman"/>
          <w:sz w:val="18"/>
          <w:szCs w:val="18"/>
          <w:color w:val="auto"/>
        </w:rPr>
        <w:t>- Banco Latinoamericano de Comercio Exterior, S.A. (“Bladex” or the “Bank”), announced today</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its Board of Directors’ approval of a quarterly cash dividend of US$0.25 per share corresponding to the third quarter of 2020.</w:t>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cash dividend is payable November 25, 2020 to the Bank’s stockholders as of November 9, 2020 record date.</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As of September 30, 2020, Bladex had 39,671,940.23 shares outstanding of all classes.</w:t>
      </w:r>
    </w:p>
    <w:p>
      <w:pPr>
        <w:spacing w:after="0" w:line="225"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the United States of America, and a Representative License in Peru, supporting the regional expansion and servicing of its customer base, which includes financial institutions and corporations.</w:t>
      </w:r>
    </w:p>
    <w:p>
      <w:pPr>
        <w:spacing w:after="0" w:line="180"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 xml:space="preserve">For further information on Bladex, please access its website at </w:t>
      </w:r>
      <w:r>
        <w:rPr>
          <w:rFonts w:ascii="Times New Roman" w:cs="Times New Roman" w:eastAsia="Times New Roman" w:hAnsi="Times New Roman"/>
          <w:sz w:val="18"/>
          <w:szCs w:val="18"/>
          <w:u w:val="single" w:color="auto"/>
          <w:color w:val="0000FF"/>
        </w:rPr>
        <w:t>www.bladex.com</w:t>
      </w:r>
      <w:r>
        <w:rPr>
          <w:rFonts w:ascii="Times New Roman" w:cs="Times New Roman" w:eastAsia="Times New Roman" w:hAnsi="Times New Roman"/>
          <w:sz w:val="18"/>
          <w:szCs w:val="18"/>
          <w:color w:val="auto"/>
        </w:rPr>
        <w:t xml:space="preserve"> or contact: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152400</wp:posOffset>
            </wp:positionV>
            <wp:extent cx="7136130" cy="5867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6130" cy="586740"/>
                    </a:xfrm>
                    <a:prstGeom prst="rect">
                      <a:avLst/>
                    </a:prstGeom>
                    <a:noFill/>
                  </pic:spPr>
                </pic:pic>
              </a:graphicData>
            </a:graphic>
          </wp:anchor>
        </w:drawing>
      </w:r>
    </w:p>
    <w:p>
      <w:pPr>
        <w:spacing w:after="0" w:line="246" w:lineRule="exact"/>
        <w:rPr>
          <w:sz w:val="20"/>
          <w:szCs w:val="20"/>
          <w:color w:val="auto"/>
        </w:rPr>
      </w:pPr>
    </w:p>
    <w:p>
      <w:pPr>
        <w:ind w:left="100"/>
        <w:spacing w:after="0"/>
        <w:rPr>
          <w:sz w:val="20"/>
          <w:szCs w:val="20"/>
          <w:color w:val="auto"/>
        </w:rPr>
      </w:pPr>
      <w:r>
        <w:rPr>
          <w:rFonts w:ascii="Times New Roman" w:cs="Times New Roman" w:eastAsia="Times New Roman" w:hAnsi="Times New Roman"/>
          <w:sz w:val="18"/>
          <w:szCs w:val="18"/>
          <w:color w:val="auto"/>
        </w:rPr>
        <w:t>Monica Cosulich - SVP, Finance and Investor Relations</w:t>
      </w:r>
    </w:p>
    <w:p>
      <w:pPr>
        <w:spacing w:after="0" w:line="27" w:lineRule="exact"/>
        <w:rPr>
          <w:sz w:val="20"/>
          <w:szCs w:val="20"/>
          <w:color w:val="auto"/>
        </w:rPr>
      </w:pPr>
    </w:p>
    <w:p>
      <w:pPr>
        <w:ind w:left="100"/>
        <w:spacing w:after="0"/>
        <w:rPr>
          <w:sz w:val="20"/>
          <w:szCs w:val="20"/>
          <w:color w:val="auto"/>
        </w:rPr>
      </w:pPr>
      <w:r>
        <w:rPr>
          <w:rFonts w:ascii="Times New Roman" w:cs="Times New Roman" w:eastAsia="Times New Roman" w:hAnsi="Times New Roman"/>
          <w:sz w:val="18"/>
          <w:szCs w:val="18"/>
          <w:color w:val="auto"/>
        </w:rPr>
        <w:t xml:space="preserve">E-mail address: </w:t>
      </w:r>
      <w:r>
        <w:rPr>
          <w:rFonts w:ascii="Times New Roman" w:cs="Times New Roman" w:eastAsia="Times New Roman" w:hAnsi="Times New Roman"/>
          <w:sz w:val="18"/>
          <w:szCs w:val="18"/>
          <w:u w:val="single" w:color="auto"/>
          <w:color w:val="0000FF"/>
        </w:rPr>
        <w:t>ir@bladex.com</w:t>
      </w:r>
      <w:r>
        <w:rPr>
          <w:rFonts w:ascii="Times New Roman" w:cs="Times New Roman" w:eastAsia="Times New Roman" w:hAnsi="Times New Roman"/>
          <w:sz w:val="18"/>
          <w:szCs w:val="18"/>
          <w:color w:val="auto"/>
        </w:rPr>
        <w:t>. Tel.: (+507) 210-8563</w:t>
      </w:r>
    </w:p>
    <w:p>
      <w:pPr>
        <w:spacing w:after="0" w:line="9" w:lineRule="exact"/>
        <w:rPr>
          <w:sz w:val="20"/>
          <w:szCs w:val="20"/>
          <w:color w:val="auto"/>
        </w:rPr>
      </w:pPr>
    </w:p>
    <w:p>
      <w:pPr>
        <w:ind w:left="100"/>
        <w:spacing w:after="0"/>
        <w:rPr>
          <w:sz w:val="20"/>
          <w:szCs w:val="20"/>
          <w:color w:val="auto"/>
        </w:rPr>
      </w:pPr>
      <w:r>
        <w:rPr>
          <w:rFonts w:ascii="Times New Roman" w:cs="Times New Roman" w:eastAsia="Times New Roman" w:hAnsi="Times New Roman"/>
          <w:sz w:val="18"/>
          <w:szCs w:val="18"/>
          <w:color w:val="auto"/>
        </w:rPr>
        <w:t>Head Office Address: Torre V, Business Park, Ave. La Rotonda, Urb. Costa del Este,</w:t>
      </w:r>
    </w:p>
    <w:p>
      <w:pPr>
        <w:spacing w:after="0" w:line="9" w:lineRule="exact"/>
        <w:rPr>
          <w:sz w:val="20"/>
          <w:szCs w:val="20"/>
          <w:color w:val="auto"/>
        </w:rPr>
      </w:pPr>
    </w:p>
    <w:p>
      <w:pPr>
        <w:ind w:left="100"/>
        <w:spacing w:after="0"/>
        <w:rPr>
          <w:sz w:val="20"/>
          <w:szCs w:val="20"/>
          <w:color w:val="auto"/>
        </w:rPr>
      </w:pPr>
      <w:r>
        <w:rPr>
          <w:rFonts w:ascii="Times New Roman" w:cs="Times New Roman" w:eastAsia="Times New Roman" w:hAnsi="Times New Roman"/>
          <w:sz w:val="18"/>
          <w:szCs w:val="18"/>
          <w:color w:val="auto"/>
        </w:rPr>
        <w:t>Panama, Republic of Panama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443230</wp:posOffset>
            </wp:positionV>
            <wp:extent cx="713232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sectPr>
      <w:pgSz w:w="11900" w:h="16838" w:orient="portrait"/>
      <w:cols w:equalWidth="0" w:num="1">
        <w:col w:w="11240"/>
      </w:cols>
      <w:pgMar w:left="320" w:top="1440"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image" Target="media/image7.png"/><Relationship Id="rId15" Type="http://schemas.openxmlformats.org/officeDocument/2006/relationships/image" Target="media/image8.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2020-10-27T15:44:09Z</dcterms:created>
  <dcterms:modified xsi:type="dcterms:W3CDTF">2020-10-27T15:44:09Z</dcterms:modified>
</cp:coreProperties>
</file>